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Herrljunga kommunfullmäktige</w:t>
      </w:r>
    </w:p>
    <w:p>
      <w:pPr>
        <w:pStyle w:val="Heading1"/>
      </w:pPr>
      <w:r>
        <w:t xml:space="preserve">Oberoende granskning av kommunal ekonomi och slöseri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Kristdemokraterna i Herrljunga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Revisionsrapport 2025 pekar på ineffektivitet i vissa verksamheter. KD vill säkerställa att välfärd prioriteras framför symbolprojekt.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Kristdemokraterna i Herrljunga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Herrljunga kommunfullmäktige beslutar om en extern granskning av kommunens upphandlingar och projekt.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granskningen ska omfatta 2024–2026.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resultaten presenteras öppet för fullmäktige senast mars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åtgärdsplan tas fram utifrån granskningens slutsatser.</w:t>
      </w:r>
    </w:p>
    <w:p>
      <w:pPr>
        <w:spacing w:before="360"/>
      </w:pPr>
    </w:p>
    <w:p>
      <w:r>
        <w:t xml:space="preserve">Herrljunga,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Kristdemokraterna i Herrljunga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2026-07-14T00:10:53.043Z</dcterms:created>
  <dcterms:modified xsi:type="dcterms:W3CDTF">2026-07-14T00:10:53.043Z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